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A32360">
        <w:rPr>
          <w:color w:val="4F7398"/>
          <w:kern w:val="36"/>
          <w:sz w:val="28"/>
          <w:szCs w:val="28"/>
          <w:u w:color="4F7398"/>
        </w:rPr>
        <w:t>Round 17</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 xml:space="preserve">The data entry period for </w:t>
      </w:r>
      <w:r w:rsidR="00A32360">
        <w:rPr>
          <w:sz w:val="21"/>
          <w:szCs w:val="21"/>
          <w:lang w:val="en-US"/>
        </w:rPr>
        <w:t>Round 17</w:t>
      </w:r>
      <w:r>
        <w:rPr>
          <w:sz w:val="21"/>
          <w:szCs w:val="21"/>
          <w:lang w:val="en-US"/>
        </w:rPr>
        <w:t xml:space="preserve"> is the month of </w:t>
      </w:r>
      <w:r w:rsidR="00735629">
        <w:rPr>
          <w:sz w:val="21"/>
          <w:szCs w:val="21"/>
          <w:lang w:val="en-US"/>
        </w:rPr>
        <w:t>J</w:t>
      </w:r>
      <w:r w:rsidR="00A32360">
        <w:rPr>
          <w:sz w:val="21"/>
          <w:szCs w:val="21"/>
          <w:lang w:val="en-US"/>
        </w:rPr>
        <w:t>uly</w:t>
      </w:r>
      <w:r w:rsidR="00735629">
        <w:rPr>
          <w:sz w:val="21"/>
          <w:szCs w:val="21"/>
          <w:lang w:val="en-US"/>
        </w:rPr>
        <w:t xml:space="preserve"> 2020</w:t>
      </w:r>
      <w:r>
        <w:rPr>
          <w:sz w:val="21"/>
          <w:szCs w:val="21"/>
          <w:lang w:val="en-US"/>
        </w:rPr>
        <w:t>. If you manually collect data then you will need to collect cases for the majority of the indicators in</w:t>
      </w:r>
      <w:r w:rsidR="005B610B">
        <w:rPr>
          <w:sz w:val="21"/>
          <w:szCs w:val="21"/>
          <w:lang w:val="en-US"/>
        </w:rPr>
        <w:t xml:space="preserve"> </w:t>
      </w:r>
      <w:r w:rsidR="00A32360">
        <w:rPr>
          <w:sz w:val="21"/>
          <w:szCs w:val="21"/>
          <w:lang w:val="en-US"/>
        </w:rPr>
        <w:t xml:space="preserve">June. </w:t>
      </w:r>
      <w:r>
        <w:rPr>
          <w:sz w:val="21"/>
          <w:szCs w:val="21"/>
          <w:lang w:val="en-US"/>
        </w:rPr>
        <w:t xml:space="preserve">(NB if this is a difficult month for your service </w:t>
      </w:r>
      <w:r>
        <w:rPr>
          <w:sz w:val="21"/>
          <w:szCs w:val="21"/>
        </w:rPr>
        <w:t xml:space="preserve">– </w:t>
      </w:r>
      <w:r>
        <w:rPr>
          <w:sz w:val="21"/>
          <w:szCs w:val="21"/>
          <w:lang w:val="en-US"/>
        </w:rPr>
        <w:t>consider using another month as your data set.)</w:t>
      </w:r>
    </w:p>
    <w:p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1536F3CB" wp14:editId="7833701C">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8">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A32360">
        <w:rPr>
          <w:b/>
          <w:bCs/>
          <w:sz w:val="21"/>
          <w:szCs w:val="21"/>
          <w:lang w:val="en-US"/>
        </w:rPr>
        <w:t>Round 17</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xml:space="preserve">– </w:t>
      </w:r>
      <w:r w:rsidR="00A32360">
        <w:rPr>
          <w:sz w:val="21"/>
          <w:szCs w:val="21"/>
        </w:rPr>
        <w:t>30th June 2020</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 xml:space="preserve">Enter the data in the </w:t>
      </w:r>
      <w:r w:rsidR="00A32360">
        <w:rPr>
          <w:sz w:val="21"/>
          <w:szCs w:val="21"/>
          <w:lang w:val="en-US"/>
        </w:rPr>
        <w:t>Round 17</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2A13B3" w:rsidRDefault="002A13B3">
      <w:pPr>
        <w:pStyle w:val="Body"/>
      </w:pPr>
    </w:p>
    <w:p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xml:space="preserve">– </w:t>
      </w:r>
      <w:r w:rsidR="00A32360">
        <w:rPr>
          <w:sz w:val="21"/>
          <w:szCs w:val="21"/>
        </w:rPr>
        <w:t>30th June 2020</w:t>
      </w:r>
      <w:r>
        <w:rPr>
          <w:sz w:val="21"/>
          <w:szCs w:val="21"/>
          <w:lang w:val="en-US"/>
        </w:rPr>
        <w:t xml:space="preserve">. Identify those where the OH professional had questioned about the specific areas listed. </w:t>
      </w:r>
    </w:p>
    <w:p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A32360">
        <w:rPr>
          <w:sz w:val="21"/>
          <w:szCs w:val="21"/>
          <w:lang w:val="en-US"/>
        </w:rPr>
        <w:t>Round 17</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xml:space="preserve">– </w:t>
      </w:r>
      <w:r w:rsidR="00A32360">
        <w:rPr>
          <w:sz w:val="21"/>
          <w:szCs w:val="21"/>
        </w:rPr>
        <w:t>30th June 2020</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A32360">
        <w:rPr>
          <w:sz w:val="21"/>
          <w:szCs w:val="21"/>
          <w:lang w:val="en-US"/>
        </w:rPr>
        <w:t>Round 17</w:t>
      </w:r>
      <w:r>
        <w:rPr>
          <w:sz w:val="21"/>
          <w:szCs w:val="21"/>
          <w:lang w:val="en-US"/>
        </w:rPr>
        <w:t xml:space="preserve"> column.</w:t>
      </w:r>
    </w:p>
    <w:p w:rsidR="002A13B3" w:rsidRDefault="002A13B3">
      <w:pPr>
        <w:pStyle w:val="Body"/>
        <w:spacing w:before="100" w:after="100"/>
        <w:rPr>
          <w:sz w:val="21"/>
          <w:szCs w:val="21"/>
        </w:rPr>
      </w:pPr>
    </w:p>
    <w:p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xml:space="preserve">– </w:t>
      </w:r>
      <w:r w:rsidR="00A32360">
        <w:rPr>
          <w:sz w:val="21"/>
          <w:szCs w:val="21"/>
        </w:rPr>
        <w:t>30th June 2020</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A32360">
        <w:rPr>
          <w:sz w:val="21"/>
          <w:szCs w:val="21"/>
          <w:lang w:val="en-US"/>
        </w:rPr>
        <w:t>Round 17</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30th June 2020</w:t>
      </w:r>
      <w:r>
        <w:rPr>
          <w:sz w:val="21"/>
          <w:szCs w:val="21"/>
          <w:lang w:val="en-US"/>
        </w:rPr>
        <w:t xml:space="preserve"> with a new case / new referral of back pain. Of these assessments, review how many have had Red flags considered. Enter data into the </w:t>
      </w:r>
      <w:r w:rsidR="00A32360">
        <w:rPr>
          <w:sz w:val="21"/>
          <w:szCs w:val="21"/>
          <w:lang w:val="en-US"/>
        </w:rPr>
        <w:t>Round 17</w:t>
      </w:r>
      <w:r>
        <w:rPr>
          <w:sz w:val="21"/>
          <w:szCs w:val="21"/>
          <w:lang w:val="en-US"/>
        </w:rPr>
        <w:t xml:space="preserve"> Column.</w:t>
      </w:r>
    </w:p>
    <w:p w:rsidR="00E41140" w:rsidRPr="00E41140" w:rsidRDefault="00E41140" w:rsidP="00E41140">
      <w:pPr>
        <w:pStyle w:val="ListParagraph"/>
        <w:spacing w:before="100" w:after="100"/>
        <w:ind w:left="360"/>
        <w:rPr>
          <w:sz w:val="21"/>
          <w:szCs w:val="21"/>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30th June 2020</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A32360">
        <w:rPr>
          <w:sz w:val="21"/>
          <w:szCs w:val="21"/>
          <w:lang w:val="en-US"/>
        </w:rPr>
        <w:t>Round 17</w:t>
      </w:r>
      <w:r>
        <w:rPr>
          <w:sz w:val="21"/>
          <w:szCs w:val="21"/>
          <w:lang w:val="en-US"/>
        </w:rPr>
        <w:t xml:space="preserve"> Column.</w:t>
      </w:r>
    </w:p>
    <w:p w:rsidR="00E41140" w:rsidRDefault="00E41140">
      <w:pPr>
        <w:pStyle w:val="Body"/>
        <w:spacing w:before="100" w:after="100"/>
        <w:rPr>
          <w:sz w:val="21"/>
          <w:szCs w:val="21"/>
          <w:lang w:val="en-US"/>
        </w:rPr>
      </w:pPr>
    </w:p>
    <w:p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proofErr w:type="gramStart"/>
      <w:r w:rsidR="00735629">
        <w:rPr>
          <w:rFonts w:ascii="Arial" w:hAnsi="Arial" w:cs="Arial"/>
          <w:sz w:val="21"/>
          <w:szCs w:val="21"/>
        </w:rPr>
        <w:t xml:space="preserve">1 </w:t>
      </w:r>
      <w:r w:rsidR="00735629">
        <w:rPr>
          <w:sz w:val="21"/>
          <w:szCs w:val="21"/>
        </w:rPr>
        <w:t xml:space="preserve"> </w:t>
      </w:r>
      <w:r w:rsidR="00735629" w:rsidRPr="00735629">
        <w:rPr>
          <w:rFonts w:ascii="Arial" w:hAnsi="Arial" w:cs="Arial"/>
          <w:sz w:val="22"/>
          <w:szCs w:val="22"/>
        </w:rPr>
        <w:t>–</w:t>
      </w:r>
      <w:proofErr w:type="gramEnd"/>
      <w:r w:rsidR="00735629" w:rsidRPr="00735629">
        <w:rPr>
          <w:rFonts w:ascii="Arial" w:hAnsi="Arial" w:cs="Arial"/>
          <w:sz w:val="22"/>
          <w:szCs w:val="22"/>
        </w:rPr>
        <w:t xml:space="preserve"> </w:t>
      </w:r>
      <w:r w:rsidR="00A32360">
        <w:rPr>
          <w:rFonts w:ascii="Arial" w:hAnsi="Arial" w:cs="Arial"/>
          <w:sz w:val="22"/>
          <w:szCs w:val="22"/>
        </w:rPr>
        <w:t>30th June 2020</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A32360">
        <w:rPr>
          <w:rFonts w:ascii="Arial" w:hAnsi="Arial" w:cs="Arial"/>
          <w:sz w:val="21"/>
          <w:szCs w:val="21"/>
        </w:rPr>
        <w:t>Round 17</w:t>
      </w:r>
      <w:r>
        <w:rPr>
          <w:rFonts w:ascii="Arial" w:hAnsi="Arial" w:cs="Arial"/>
          <w:sz w:val="21"/>
          <w:szCs w:val="21"/>
        </w:rPr>
        <w:t xml:space="preserve"> column. </w:t>
      </w:r>
    </w:p>
    <w:p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30th June 2020</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A32360">
        <w:rPr>
          <w:sz w:val="21"/>
          <w:szCs w:val="21"/>
          <w:lang w:val="en-US"/>
        </w:rPr>
        <w:t>Round 17</w:t>
      </w:r>
      <w:r>
        <w:rPr>
          <w:sz w:val="21"/>
          <w:szCs w:val="21"/>
          <w:lang w:val="en-US"/>
        </w:rPr>
        <w:t xml:space="preserve"> Column.</w:t>
      </w:r>
    </w:p>
    <w:p w:rsidR="00E41140" w:rsidRDefault="00E41140" w:rsidP="00E41140">
      <w:pPr>
        <w:pStyle w:val="ListParagraph"/>
        <w:spacing w:before="100" w:after="100"/>
        <w:ind w:left="360"/>
        <w:rPr>
          <w:sz w:val="21"/>
          <w:szCs w:val="21"/>
        </w:rPr>
      </w:pPr>
    </w:p>
    <w:p w:rsidR="00E41140" w:rsidRPr="00E41140" w:rsidRDefault="00E41140" w:rsidP="00E41140">
      <w:pPr>
        <w:pStyle w:val="Body"/>
        <w:spacing w:before="100" w:after="100"/>
        <w:ind w:left="360"/>
        <w:rPr>
          <w:b/>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3B40E4" w:rsidRPr="0069230D">
        <w:rPr>
          <w:color w:val="auto"/>
          <w:sz w:val="21"/>
          <w:szCs w:val="21"/>
          <w:u w:color="FF0000"/>
        </w:rPr>
        <w:t>1</w:t>
      </w:r>
      <w:r w:rsidR="003B40E4" w:rsidRPr="0069230D">
        <w:rPr>
          <w:color w:val="auto"/>
          <w:sz w:val="21"/>
          <w:szCs w:val="21"/>
          <w:u w:color="FF0000"/>
          <w:vertAlign w:val="superscript"/>
        </w:rPr>
        <w:t>st</w:t>
      </w:r>
      <w:r w:rsidR="003B40E4">
        <w:rPr>
          <w:color w:val="auto"/>
          <w:sz w:val="21"/>
          <w:szCs w:val="21"/>
          <w:u w:color="FF0000"/>
        </w:rPr>
        <w:t xml:space="preserve"> </w:t>
      </w:r>
      <w:r w:rsidR="00A32360" w:rsidRPr="001813EB">
        <w:rPr>
          <w:color w:val="auto"/>
          <w:sz w:val="21"/>
          <w:szCs w:val="21"/>
          <w:u w:color="FF0000"/>
        </w:rPr>
        <w:t>1</w:t>
      </w:r>
      <w:r w:rsidR="00A32360" w:rsidRPr="001813EB">
        <w:rPr>
          <w:color w:val="auto"/>
          <w:sz w:val="21"/>
          <w:szCs w:val="21"/>
          <w:u w:color="FF0000"/>
          <w:vertAlign w:val="superscript"/>
        </w:rPr>
        <w:t>st</w:t>
      </w:r>
      <w:r w:rsidR="00A32360" w:rsidRPr="001813EB">
        <w:rPr>
          <w:color w:val="auto"/>
          <w:sz w:val="21"/>
          <w:szCs w:val="21"/>
          <w:u w:color="FF0000"/>
        </w:rPr>
        <w:t xml:space="preserve"> </w:t>
      </w:r>
      <w:r w:rsidR="00A32360">
        <w:rPr>
          <w:color w:val="auto"/>
          <w:sz w:val="21"/>
          <w:szCs w:val="21"/>
          <w:u w:color="FF0000"/>
        </w:rPr>
        <w:t>March</w:t>
      </w:r>
      <w:r w:rsidR="00A32360" w:rsidRPr="001813EB">
        <w:rPr>
          <w:color w:val="auto"/>
          <w:sz w:val="21"/>
          <w:szCs w:val="21"/>
          <w:u w:color="FF0000"/>
        </w:rPr>
        <w:t xml:space="preserve"> – 31st March </w:t>
      </w:r>
      <w:r w:rsidR="00A32360">
        <w:rPr>
          <w:color w:val="auto"/>
          <w:sz w:val="21"/>
          <w:szCs w:val="21"/>
          <w:u w:color="FF0000"/>
        </w:rPr>
        <w:t>2020</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w:t>
      </w:r>
      <w:proofErr w:type="spellStart"/>
      <w:r>
        <w:rPr>
          <w:sz w:val="21"/>
          <w:szCs w:val="21"/>
          <w:lang w:val="en-US"/>
        </w:rPr>
        <w:t>hep</w:t>
      </w:r>
      <w:proofErr w:type="spellEnd"/>
      <w:r>
        <w:rPr>
          <w:sz w:val="21"/>
          <w:szCs w:val="21"/>
          <w:lang w:val="en-US"/>
        </w:rPr>
        <w:t xml:space="preserve">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A32360">
        <w:rPr>
          <w:sz w:val="21"/>
          <w:szCs w:val="21"/>
          <w:lang w:val="en-US"/>
        </w:rPr>
        <w:t>Round 17</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A32360" w:rsidRPr="00E82D51">
        <w:rPr>
          <w:color w:val="auto"/>
          <w:sz w:val="21"/>
          <w:szCs w:val="21"/>
          <w:u w:color="FF0000"/>
        </w:rPr>
        <w:t>1</w:t>
      </w:r>
      <w:r w:rsidR="00A32360" w:rsidRPr="00E82D51">
        <w:rPr>
          <w:color w:val="auto"/>
          <w:sz w:val="21"/>
          <w:szCs w:val="21"/>
          <w:u w:color="FF0000"/>
          <w:vertAlign w:val="superscript"/>
        </w:rPr>
        <w:t>st</w:t>
      </w:r>
      <w:r w:rsidR="00A32360">
        <w:rPr>
          <w:color w:val="auto"/>
          <w:sz w:val="21"/>
          <w:szCs w:val="21"/>
          <w:u w:color="FF0000"/>
          <w:lang w:val="en-US"/>
        </w:rPr>
        <w:t xml:space="preserve"> May </w:t>
      </w:r>
      <w:r w:rsidR="00A32360" w:rsidRPr="00E82D51">
        <w:rPr>
          <w:color w:val="auto"/>
          <w:sz w:val="21"/>
          <w:szCs w:val="21"/>
          <w:u w:color="FF0000"/>
        </w:rPr>
        <w:t>– 31st May</w:t>
      </w:r>
      <w:r w:rsidR="00A32360">
        <w:rPr>
          <w:color w:val="auto"/>
          <w:sz w:val="21"/>
          <w:szCs w:val="21"/>
          <w:u w:color="FF0000"/>
        </w:rPr>
        <w:t xml:space="preserve"> </w:t>
      </w:r>
      <w:proofErr w:type="gramStart"/>
      <w:r w:rsidR="00A32360">
        <w:rPr>
          <w:color w:val="auto"/>
          <w:sz w:val="21"/>
          <w:szCs w:val="21"/>
          <w:u w:color="FF0000"/>
        </w:rPr>
        <w:t xml:space="preserve">2020 </w:t>
      </w:r>
      <w:r w:rsidRPr="002B7FD6">
        <w:rPr>
          <w:color w:val="auto"/>
          <w:sz w:val="21"/>
          <w:szCs w:val="21"/>
          <w:lang w:val="en-US"/>
        </w:rPr>
        <w:t xml:space="preserve"> </w:t>
      </w:r>
      <w:r w:rsidRPr="0069230D">
        <w:rPr>
          <w:color w:val="auto"/>
          <w:sz w:val="21"/>
          <w:szCs w:val="21"/>
          <w:lang w:val="en-US"/>
        </w:rPr>
        <w:t>were</w:t>
      </w:r>
      <w:proofErr w:type="gramEnd"/>
      <w:r w:rsidRPr="0069230D">
        <w:rPr>
          <w:color w:val="auto"/>
          <w:sz w:val="21"/>
          <w:szCs w:val="21"/>
          <w:lang w:val="en-US"/>
        </w:rPr>
        <w:t xml:space="preserve"> tested for VZV antibodies if they indicated on their </w:t>
      </w:r>
      <w:proofErr w:type="spellStart"/>
      <w:r w:rsidRPr="0069230D">
        <w:rPr>
          <w:color w:val="auto"/>
          <w:sz w:val="21"/>
          <w:szCs w:val="21"/>
          <w:lang w:val="en-US"/>
        </w:rPr>
        <w:t>immunisation</w:t>
      </w:r>
      <w:proofErr w:type="spellEnd"/>
      <w:r w:rsidRPr="0069230D">
        <w:rPr>
          <w:color w:val="auto"/>
          <w:sz w:val="21"/>
          <w:szCs w:val="21"/>
          <w:lang w:val="en-US"/>
        </w:rPr>
        <w:t xml:space="preserve">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A32360">
        <w:rPr>
          <w:sz w:val="21"/>
          <w:szCs w:val="21"/>
          <w:lang w:val="en-US"/>
        </w:rPr>
        <w:t>Round 17</w:t>
      </w:r>
      <w:r w:rsidR="00BD56CA">
        <w:rPr>
          <w:sz w:val="21"/>
          <w:szCs w:val="21"/>
          <w:lang w:val="en-US"/>
        </w:rPr>
        <w:t xml:space="preserve">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A32360">
        <w:rPr>
          <w:sz w:val="21"/>
          <w:szCs w:val="21"/>
          <w:lang w:val="en-US"/>
        </w:rPr>
        <w:t>1</w:t>
      </w:r>
      <w:r w:rsidR="00A32360" w:rsidRPr="00A75617">
        <w:rPr>
          <w:sz w:val="21"/>
          <w:szCs w:val="21"/>
          <w:vertAlign w:val="superscript"/>
          <w:lang w:val="en-US"/>
        </w:rPr>
        <w:t>st</w:t>
      </w:r>
      <w:r w:rsidR="00A32360">
        <w:rPr>
          <w:sz w:val="21"/>
          <w:szCs w:val="21"/>
          <w:lang w:val="en-US"/>
        </w:rPr>
        <w:t xml:space="preserve"> January – 30</w:t>
      </w:r>
      <w:r w:rsidR="00A32360" w:rsidRPr="00F272A9">
        <w:rPr>
          <w:sz w:val="21"/>
          <w:szCs w:val="21"/>
          <w:vertAlign w:val="superscript"/>
          <w:lang w:val="en-US"/>
        </w:rPr>
        <w:t>th</w:t>
      </w:r>
      <w:r w:rsidR="00A32360">
        <w:rPr>
          <w:sz w:val="21"/>
          <w:szCs w:val="21"/>
          <w:lang w:val="en-US"/>
        </w:rPr>
        <w:t xml:space="preserve"> June</w:t>
      </w:r>
      <w:r w:rsidR="00A32360">
        <w:rPr>
          <w:sz w:val="21"/>
          <w:szCs w:val="21"/>
          <w:lang w:val="en-US"/>
        </w:rPr>
        <w:t xml:space="preserve"> 2020</w:t>
      </w:r>
      <w:proofErr w:type="gramStart"/>
      <w:r w:rsidR="002B7FD6">
        <w:rPr>
          <w:sz w:val="21"/>
          <w:szCs w:val="21"/>
          <w:lang w:val="en-US"/>
        </w:rPr>
        <w:t xml:space="preserve">) </w:t>
      </w:r>
      <w:r>
        <w:rPr>
          <w:sz w:val="21"/>
          <w:szCs w:val="21"/>
          <w:lang w:val="en-US"/>
        </w:rPr>
        <w:t xml:space="preserve"> received</w:t>
      </w:r>
      <w:proofErr w:type="gramEnd"/>
      <w:r>
        <w:rPr>
          <w:sz w:val="21"/>
          <w:szCs w:val="21"/>
          <w:lang w:val="en-US"/>
        </w:rPr>
        <w:t xml:space="preserve">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A32360">
        <w:rPr>
          <w:sz w:val="21"/>
          <w:szCs w:val="21"/>
          <w:lang w:val="en-US"/>
        </w:rPr>
        <w:t>Round 17</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xml:space="preserve">– </w:t>
      </w:r>
      <w:r w:rsidR="00A32360">
        <w:rPr>
          <w:sz w:val="21"/>
          <w:szCs w:val="21"/>
        </w:rPr>
        <w:t>30th June 2020</w:t>
      </w:r>
      <w:r w:rsidR="005B610B">
        <w:rPr>
          <w:sz w:val="21"/>
          <w:szCs w:val="21"/>
          <w:lang w:val="en-US"/>
        </w:rPr>
        <w:t xml:space="preserve"> </w:t>
      </w:r>
      <w:r>
        <w:rPr>
          <w:sz w:val="21"/>
          <w:szCs w:val="21"/>
          <w:lang w:val="en-US"/>
        </w:rPr>
        <w:t xml:space="preserve">(i.e. not reviews arranged by OH). Identify how many of these were offered an appointment </w:t>
      </w:r>
      <w:r>
        <w:rPr>
          <w:sz w:val="21"/>
          <w:szCs w:val="21"/>
          <w:lang w:val="en-US"/>
        </w:rPr>
        <w:lastRenderedPageBreak/>
        <w:t>to be assessed within ten working days of receipt of the referral</w:t>
      </w:r>
      <w:r w:rsidR="002571B6">
        <w:rPr>
          <w:sz w:val="21"/>
          <w:szCs w:val="21"/>
          <w:lang w:val="en-US"/>
        </w:rPr>
        <w:t>. Enter th</w:t>
      </w:r>
      <w:r w:rsidR="005B610B">
        <w:rPr>
          <w:sz w:val="21"/>
          <w:szCs w:val="21"/>
          <w:lang w:val="en-US"/>
        </w:rPr>
        <w:t xml:space="preserve">e data in the </w:t>
      </w:r>
      <w:r w:rsidR="00A32360">
        <w:rPr>
          <w:sz w:val="21"/>
          <w:szCs w:val="21"/>
          <w:lang w:val="en-US"/>
        </w:rPr>
        <w:t>Round 17</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A32360">
        <w:rPr>
          <w:sz w:val="21"/>
          <w:szCs w:val="21"/>
          <w:lang w:val="en-US"/>
        </w:rPr>
        <w:t>Round 17</w:t>
      </w:r>
      <w:r>
        <w:rPr>
          <w:sz w:val="21"/>
          <w:szCs w:val="21"/>
        </w:rPr>
        <w:t xml:space="preserve"> column.</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xml:space="preserve">– </w:t>
      </w:r>
      <w:r w:rsidR="00A32360">
        <w:rPr>
          <w:sz w:val="21"/>
          <w:szCs w:val="21"/>
        </w:rPr>
        <w:t>30th June 2020</w:t>
      </w:r>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A32360">
        <w:rPr>
          <w:color w:val="auto"/>
          <w:sz w:val="21"/>
          <w:szCs w:val="21"/>
          <w:lang w:val="en-US"/>
        </w:rPr>
        <w:t>Round 17</w:t>
      </w:r>
      <w:r w:rsidRPr="002B7FD6">
        <w:rPr>
          <w:color w:val="auto"/>
          <w:sz w:val="21"/>
          <w:szCs w:val="21"/>
        </w:rPr>
        <w:t xml:space="preserve"> column.</w:t>
      </w:r>
    </w:p>
    <w:p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w:t>
      </w:r>
      <w:r w:rsidR="00A32360">
        <w:rPr>
          <w:sz w:val="21"/>
          <w:szCs w:val="21"/>
        </w:rPr>
        <w:t>30th June 2020</w:t>
      </w:r>
      <w:r w:rsidR="005B610B">
        <w:rPr>
          <w:sz w:val="21"/>
          <w:szCs w:val="21"/>
        </w:rPr>
        <w:t>.</w:t>
      </w:r>
      <w:r>
        <w:rPr>
          <w:sz w:val="21"/>
          <w:szCs w:val="21"/>
        </w:rPr>
        <w:t xml:space="preserve">  </w:t>
      </w:r>
      <w:r w:rsidR="005B610B">
        <w:rPr>
          <w:sz w:val="21"/>
          <w:szCs w:val="21"/>
          <w:lang w:val="en-US"/>
        </w:rPr>
        <w:t xml:space="preserve">Enter the data in the </w:t>
      </w:r>
      <w:r w:rsidR="00A32360">
        <w:rPr>
          <w:sz w:val="21"/>
          <w:szCs w:val="21"/>
          <w:lang w:val="en-US"/>
        </w:rPr>
        <w:t>Round 17</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w:t>
      </w:r>
      <w:r w:rsidR="00A32360">
        <w:rPr>
          <w:sz w:val="21"/>
          <w:szCs w:val="21"/>
        </w:rPr>
        <w:t>30th June 2020</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A32360">
        <w:rPr>
          <w:sz w:val="21"/>
          <w:szCs w:val="21"/>
          <w:lang w:val="en-US"/>
        </w:rPr>
        <w:t>Round 17</w:t>
      </w:r>
      <w:r>
        <w:rPr>
          <w:sz w:val="21"/>
          <w:szCs w:val="21"/>
          <w:lang w:val="en-US"/>
        </w:rPr>
        <w:t xml:space="preserve"> column. Again we have raised the bar just slightly on this indicator!</w:t>
      </w:r>
    </w:p>
    <w:p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A32360">
        <w:rPr>
          <w:sz w:val="21"/>
          <w:szCs w:val="21"/>
        </w:rPr>
        <w:t>– 30th June 2020</w:t>
      </w:r>
      <w:r w:rsidR="002571B6">
        <w:rPr>
          <w:sz w:val="21"/>
          <w:szCs w:val="21"/>
          <w:lang w:val="en-US"/>
        </w:rPr>
        <w:t>.</w:t>
      </w:r>
      <w:r w:rsidR="005B610B">
        <w:rPr>
          <w:sz w:val="21"/>
          <w:szCs w:val="21"/>
          <w:lang w:val="en-US"/>
        </w:rPr>
        <w:t xml:space="preserve"> Enter the data in the </w:t>
      </w:r>
      <w:r w:rsidR="00A32360">
        <w:rPr>
          <w:sz w:val="21"/>
          <w:szCs w:val="21"/>
          <w:lang w:val="en-US"/>
        </w:rPr>
        <w:t>Round 17</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w:t>
      </w:r>
      <w:r w:rsidR="00A32360">
        <w:rPr>
          <w:sz w:val="21"/>
          <w:szCs w:val="21"/>
        </w:rPr>
        <w:t xml:space="preserve">0th June </w:t>
      </w:r>
      <w:proofErr w:type="gramStart"/>
      <w:r w:rsidR="00A32360">
        <w:rPr>
          <w:sz w:val="21"/>
          <w:szCs w:val="21"/>
        </w:rPr>
        <w:t xml:space="preserve">2020 </w:t>
      </w:r>
      <w:r w:rsidR="003B40E4">
        <w:rPr>
          <w:sz w:val="21"/>
          <w:szCs w:val="21"/>
          <w:lang w:val="en-US"/>
        </w:rPr>
        <w:t xml:space="preserve"> </w:t>
      </w:r>
      <w:r>
        <w:rPr>
          <w:sz w:val="21"/>
          <w:szCs w:val="21"/>
          <w:lang w:val="en-US"/>
        </w:rPr>
        <w:t>that</w:t>
      </w:r>
      <w:proofErr w:type="gramEnd"/>
      <w:r>
        <w:rPr>
          <w:sz w:val="21"/>
          <w:szCs w:val="21"/>
          <w:lang w:val="en-US"/>
        </w:rPr>
        <w:t xml:space="preserve">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A32360">
        <w:rPr>
          <w:sz w:val="21"/>
          <w:szCs w:val="21"/>
          <w:lang w:val="en-US"/>
        </w:rPr>
        <w:t>Round 17</w:t>
      </w:r>
      <w:r>
        <w:rPr>
          <w:sz w:val="21"/>
          <w:szCs w:val="21"/>
          <w:lang w:val="en-US"/>
        </w:rPr>
        <w:t xml:space="preserve"> column.</w:t>
      </w:r>
    </w:p>
    <w:p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xml:space="preserve">– </w:t>
      </w:r>
      <w:r w:rsidR="00A32360">
        <w:rPr>
          <w:sz w:val="21"/>
          <w:szCs w:val="21"/>
        </w:rPr>
        <w:t>30th June 2020</w:t>
      </w:r>
      <w:r>
        <w:rPr>
          <w:sz w:val="21"/>
          <w:szCs w:val="21"/>
          <w:lang w:val="en-US"/>
        </w:rPr>
        <w:t>. E</w:t>
      </w:r>
      <w:r w:rsidR="005B610B">
        <w:rPr>
          <w:sz w:val="21"/>
          <w:szCs w:val="21"/>
          <w:lang w:val="en-US"/>
        </w:rPr>
        <w:t xml:space="preserve">nter the data in the </w:t>
      </w:r>
      <w:r w:rsidR="00A32360">
        <w:rPr>
          <w:sz w:val="21"/>
          <w:szCs w:val="21"/>
          <w:lang w:val="en-US"/>
        </w:rPr>
        <w:t>Round 17</w:t>
      </w:r>
      <w:r>
        <w:rPr>
          <w:sz w:val="21"/>
          <w:szCs w:val="21"/>
          <w:lang w:val="en-US"/>
        </w:rPr>
        <w:t xml:space="preserve"> </w:t>
      </w:r>
      <w:r>
        <w:rPr>
          <w:sz w:val="21"/>
          <w:szCs w:val="21"/>
        </w:rPr>
        <w:t>column.</w:t>
      </w:r>
    </w:p>
    <w:p w:rsidR="009216CC" w:rsidRDefault="009216CC">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pPr>
        <w:pStyle w:val="Body"/>
        <w:numPr>
          <w:ilvl w:val="0"/>
          <w:numId w:val="15"/>
        </w:numPr>
        <w:spacing w:before="100" w:after="100"/>
        <w:rPr>
          <w:sz w:val="21"/>
          <w:szCs w:val="21"/>
          <w:lang w:val="en-US"/>
        </w:rPr>
      </w:pPr>
      <w:r>
        <w:rPr>
          <w:b/>
          <w:bCs/>
          <w:sz w:val="21"/>
          <w:szCs w:val="21"/>
          <w:lang w:val="en-US"/>
        </w:rPr>
        <w:lastRenderedPageBreak/>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xml:space="preserve">– </w:t>
      </w:r>
      <w:r w:rsidR="00A32360">
        <w:rPr>
          <w:sz w:val="21"/>
          <w:szCs w:val="21"/>
        </w:rPr>
        <w:t>30th June 2020</w:t>
      </w:r>
      <w:r>
        <w:rPr>
          <w:sz w:val="21"/>
          <w:szCs w:val="21"/>
        </w:rPr>
        <w:t xml:space="preserve">.  </w:t>
      </w:r>
      <w:r>
        <w:rPr>
          <w:sz w:val="21"/>
          <w:szCs w:val="21"/>
          <w:lang w:val="en-US"/>
        </w:rPr>
        <w:t xml:space="preserve">Of these assessments identify how many were asked about pre-existing occupational asthma. Enter the data into the </w:t>
      </w:r>
      <w:r w:rsidR="00A32360">
        <w:rPr>
          <w:sz w:val="21"/>
          <w:szCs w:val="21"/>
          <w:lang w:val="en-US"/>
        </w:rPr>
        <w:t>Round 17</w:t>
      </w:r>
      <w:r>
        <w:rPr>
          <w:sz w:val="21"/>
          <w:szCs w:val="21"/>
        </w:rPr>
        <w:t xml:space="preserve"> column.</w:t>
      </w:r>
    </w:p>
    <w:p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xml:space="preserve">– </w:t>
      </w:r>
      <w:r w:rsidR="00A32360">
        <w:rPr>
          <w:sz w:val="21"/>
          <w:szCs w:val="21"/>
        </w:rPr>
        <w:t>30th June 2020</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A32360">
        <w:rPr>
          <w:sz w:val="21"/>
          <w:szCs w:val="21"/>
          <w:lang w:val="en-US"/>
        </w:rPr>
        <w:t>Round 17</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t>
      </w:r>
      <w:proofErr w:type="gramStart"/>
      <w:r>
        <w:rPr>
          <w:kern w:val="36"/>
          <w:sz w:val="21"/>
          <w:szCs w:val="21"/>
        </w:rPr>
        <w:t>who</w:t>
      </w:r>
      <w:proofErr w:type="gramEnd"/>
      <w:r>
        <w:rPr>
          <w:kern w:val="36"/>
          <w:sz w:val="21"/>
          <w:szCs w:val="21"/>
        </w:rPr>
        <w:t xml:space="preserve">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lastRenderedPageBreak/>
        <w:t>Number of records where authorised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t>
      </w:r>
      <w:proofErr w:type="gramStart"/>
      <w:r w:rsidRPr="005C7C5B">
        <w:rPr>
          <w:rFonts w:ascii="Arial" w:hAnsi="Arial" w:cs="Arial"/>
          <w:sz w:val="22"/>
          <w:szCs w:val="22"/>
        </w:rPr>
        <w:t>was</w:t>
      </w:r>
      <w:proofErr w:type="gramEnd"/>
      <w:r w:rsidRPr="005C7C5B">
        <w:rPr>
          <w:rFonts w:ascii="Arial" w:hAnsi="Arial" w:cs="Arial"/>
          <w:sz w:val="22"/>
          <w:szCs w:val="22"/>
        </w:rPr>
        <w:t xml:space="preserve">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Default="005C7C5B" w:rsidP="005C7C5B">
      <w:pPr>
        <w:ind w:left="360"/>
        <w:rPr>
          <w:rFonts w:ascii="Arial" w:hAnsi="Arial" w:cs="Arial"/>
          <w:sz w:val="22"/>
          <w:szCs w:val="22"/>
        </w:rPr>
      </w:pPr>
    </w:p>
    <w:p w:rsidR="005B610B" w:rsidRDefault="005B610B" w:rsidP="005C7C5B">
      <w:pPr>
        <w:ind w:left="360"/>
        <w:rPr>
          <w:rFonts w:ascii="Arial" w:hAnsi="Arial" w:cs="Arial"/>
          <w:sz w:val="22"/>
          <w:szCs w:val="22"/>
        </w:rPr>
      </w:pPr>
    </w:p>
    <w:p w:rsidR="005B610B" w:rsidRPr="005C7C5B" w:rsidRDefault="005B610B" w:rsidP="005C7C5B">
      <w:pPr>
        <w:ind w:left="360"/>
        <w:rPr>
          <w:rFonts w:ascii="Arial" w:hAnsi="Arial" w:cs="Arial"/>
          <w:sz w:val="22"/>
          <w:szCs w:val="22"/>
        </w:rPr>
      </w:pPr>
    </w:p>
    <w:p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rsidR="005B610B" w:rsidRPr="00E40B36" w:rsidRDefault="005B610B" w:rsidP="005B610B">
      <w:pPr>
        <w:rPr>
          <w:rFonts w:ascii="Arial" w:hAnsi="Arial"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rsidR="00E40B36" w:rsidRPr="00E40B36" w:rsidRDefault="00E40B36" w:rsidP="005B610B">
      <w:pPr>
        <w:rPr>
          <w:rFonts w:ascii="Arial" w:hAnsi="Arial" w:cs="Arial"/>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B610B" w:rsidRPr="00E40B36" w:rsidRDefault="005B610B" w:rsidP="005B610B">
      <w:pPr>
        <w:pStyle w:val="ListParagraph"/>
        <w:rPr>
          <w:rFonts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rsidR="005B610B" w:rsidRDefault="005B610B" w:rsidP="005B610B">
      <w:pPr>
        <w:rPr>
          <w:rFonts w:ascii="Arial" w:hAnsi="Arial" w:cs="Arial"/>
        </w:rPr>
      </w:pPr>
      <w:r w:rsidRPr="00E40B36">
        <w:rPr>
          <w:rFonts w:ascii="Arial" w:hAnsi="Arial" w:cs="Arial"/>
        </w:rPr>
        <w:t xml:space="preserve">When you go through the records relating to the activity/ assessment that </w:t>
      </w:r>
      <w:proofErr w:type="gramStart"/>
      <w:r w:rsidRPr="00E40B36">
        <w:rPr>
          <w:rFonts w:ascii="Arial" w:hAnsi="Arial" w:cs="Arial"/>
        </w:rPr>
        <w:t>was</w:t>
      </w:r>
      <w:proofErr w:type="gramEnd"/>
      <w:r w:rsidRPr="00E40B36">
        <w:rPr>
          <w:rFonts w:ascii="Arial" w:hAnsi="Arial" w:cs="Arial"/>
        </w:rPr>
        <w:t xml:space="preserve"> undertaken – can you see the workers name on all sides of paper used?</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commenced has been recorded / Total number of records reviewed</w:t>
      </w:r>
    </w:p>
    <w:p w:rsidR="005B610B" w:rsidRDefault="005B610B" w:rsidP="005B610B">
      <w:pPr>
        <w:rPr>
          <w:rFonts w:ascii="Arial" w:hAnsi="Arial" w:cs="Arial"/>
        </w:rPr>
      </w:pPr>
      <w:r w:rsidRPr="00E40B36">
        <w:rPr>
          <w:rFonts w:ascii="Arial" w:hAnsi="Arial" w:cs="Arial"/>
        </w:rPr>
        <w:t xml:space="preserve">Assessments should record start and finish time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rsidR="005B610B" w:rsidRPr="00E40B36" w:rsidRDefault="005B610B" w:rsidP="005B610B">
      <w:pPr>
        <w:rPr>
          <w:rFonts w:ascii="Arial" w:hAnsi="Arial"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 xml:space="preserve">Number of records where the current job title or qualification of the author undertaking the assessment has been recorded / Total number of records reviewed. </w:t>
      </w:r>
    </w:p>
    <w:p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rsidR="005C7C5B" w:rsidRDefault="005C7C5B">
      <w:pPr>
        <w:pStyle w:val="ListParagraph"/>
        <w:rPr>
          <w:rFonts w:cs="Arial"/>
          <w:sz w:val="22"/>
          <w:szCs w:val="22"/>
        </w:rPr>
      </w:pPr>
    </w:p>
    <w:p w:rsidR="001219C3" w:rsidRDefault="001219C3">
      <w:pPr>
        <w:pStyle w:val="ListParagraph"/>
        <w:rPr>
          <w:rFonts w:cs="Arial"/>
          <w:sz w:val="22"/>
          <w:szCs w:val="22"/>
        </w:rPr>
      </w:pPr>
    </w:p>
    <w:p w:rsidR="001219C3" w:rsidRPr="001219C3" w:rsidRDefault="001219C3" w:rsidP="001219C3">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rsidR="001219C3" w:rsidRPr="001219C3" w:rsidRDefault="001219C3" w:rsidP="001219C3">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30th June 2020</w:t>
      </w:r>
      <w:r w:rsidRPr="001219C3">
        <w:rPr>
          <w:rFonts w:cs="Arial"/>
          <w:lang w:val="en-US"/>
        </w:rPr>
        <w:t>, (NB if you have a large amount then please do consider taking a randomised</w:t>
      </w:r>
      <w:bookmarkStart w:id="0" w:name="_GoBack"/>
      <w:bookmarkEnd w:id="0"/>
      <w:r w:rsidRPr="001219C3">
        <w:rPr>
          <w:rFonts w:cs="Arial"/>
          <w:lang w:val="en-US"/>
        </w:rPr>
        <w:t xml:space="preserve"> sample) and complete the pre-test screening / audio test results / post surveillance sections or you can choose just one section to review. </w:t>
      </w:r>
    </w:p>
    <w:p w:rsidR="001219C3" w:rsidRPr="001219C3" w:rsidRDefault="001219C3" w:rsidP="001219C3">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rsidR="001219C3" w:rsidRPr="001219C3" w:rsidRDefault="001219C3" w:rsidP="001219C3">
      <w:pPr>
        <w:rPr>
          <w:rFonts w:ascii="Arial" w:hAnsi="Arial" w:cs="Arial"/>
        </w:rPr>
      </w:pPr>
    </w:p>
    <w:p w:rsidR="001219C3" w:rsidRPr="001219C3" w:rsidRDefault="001219C3" w:rsidP="001219C3">
      <w:pPr>
        <w:rPr>
          <w:rFonts w:ascii="Arial" w:hAnsi="Arial" w:cs="Arial"/>
          <w:b/>
        </w:rPr>
      </w:pPr>
      <w:r w:rsidRPr="001219C3">
        <w:rPr>
          <w:rFonts w:ascii="Arial" w:hAnsi="Arial" w:cs="Arial"/>
          <w:b/>
        </w:rPr>
        <w:t xml:space="preserve">Audiometry Surveillance Pre-test screening audit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rsidR="001219C3" w:rsidRPr="001219C3" w:rsidRDefault="001219C3" w:rsidP="001219C3">
      <w:pPr>
        <w:pStyle w:val="ListParagraph"/>
        <w:rPr>
          <w:rFonts w:cs="Arial"/>
        </w:rPr>
      </w:pP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No of workers where a documented </w:t>
      </w:r>
      <w:proofErr w:type="spellStart"/>
      <w:r w:rsidRPr="001219C3">
        <w:rPr>
          <w:rFonts w:cs="Arial"/>
        </w:rPr>
        <w:t>otoscopic</w:t>
      </w:r>
      <w:proofErr w:type="spellEnd"/>
      <w:r w:rsidRPr="001219C3">
        <w:rPr>
          <w:rFonts w:cs="Arial"/>
        </w:rPr>
        <w:t xml:space="preserve"> examination was recorded prior to audiometry surveillance / Total number of workers who attended for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rsidR="001219C3" w:rsidRPr="001219C3" w:rsidRDefault="001219C3" w:rsidP="001219C3">
      <w:pPr>
        <w:ind w:left="360"/>
        <w:rPr>
          <w:rFonts w:ascii="Arial" w:hAnsi="Arial" w:cs="Arial"/>
        </w:rPr>
      </w:pPr>
    </w:p>
    <w:p w:rsidR="001219C3" w:rsidRPr="001219C3" w:rsidRDefault="001219C3" w:rsidP="001219C3">
      <w:pPr>
        <w:ind w:left="360"/>
        <w:rPr>
          <w:rFonts w:ascii="Arial" w:hAnsi="Arial" w:cs="Arial"/>
          <w:b/>
        </w:rPr>
      </w:pPr>
      <w:r w:rsidRPr="001219C3">
        <w:rPr>
          <w:rFonts w:ascii="Arial" w:hAnsi="Arial" w:cs="Arial"/>
          <w:b/>
        </w:rPr>
        <w:t xml:space="preserve">Audiometry surveillance test audit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w:t>
      </w:r>
      <w:proofErr w:type="gramStart"/>
      <w:r w:rsidRPr="001219C3">
        <w:rPr>
          <w:rFonts w:cs="Arial"/>
        </w:rPr>
        <w:t>Total</w:t>
      </w:r>
      <w:proofErr w:type="gramEnd"/>
      <w:r w:rsidRPr="001219C3">
        <w:rPr>
          <w:rFonts w:cs="Arial"/>
        </w:rPr>
        <w:t xml:space="preserve"> number of tests being reviewed.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daily equipment check has been undertaken prior to use - Number of times this was demonstrated / </w:t>
      </w:r>
      <w:proofErr w:type="gramStart"/>
      <w:r w:rsidRPr="001219C3">
        <w:rPr>
          <w:rFonts w:cs="Arial"/>
        </w:rPr>
        <w:t>Total</w:t>
      </w:r>
      <w:proofErr w:type="gramEnd"/>
      <w:r w:rsidRPr="001219C3">
        <w:rPr>
          <w:rFonts w:cs="Arial"/>
        </w:rPr>
        <w:t xml:space="preserve"> number of tests being reviewed.</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the OH professional undertook an </w:t>
      </w:r>
      <w:proofErr w:type="spellStart"/>
      <w:r w:rsidRPr="001219C3">
        <w:rPr>
          <w:rFonts w:cs="Arial"/>
        </w:rPr>
        <w:t>otoscopic</w:t>
      </w:r>
      <w:proofErr w:type="spellEnd"/>
      <w:r w:rsidRPr="001219C3">
        <w:rPr>
          <w:rFonts w:cs="Arial"/>
        </w:rPr>
        <w:t xml:space="preserve"> examination took place prior to screening taking place? / Total number  of workers who were seen for audio surveillance</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8kHz as part of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rsidR="001219C3" w:rsidRPr="001219C3" w:rsidRDefault="001219C3" w:rsidP="001219C3">
      <w:pPr>
        <w:pStyle w:val="ListParagraph"/>
        <w:rPr>
          <w:rFonts w:cs="Arial"/>
        </w:rPr>
      </w:pPr>
    </w:p>
    <w:p w:rsidR="001219C3" w:rsidRPr="001219C3" w:rsidRDefault="001219C3" w:rsidP="001219C3">
      <w:pPr>
        <w:pStyle w:val="ListParagraph"/>
        <w:rPr>
          <w:rFonts w:cs="Arial"/>
        </w:rPr>
      </w:pPr>
    </w:p>
    <w:p w:rsidR="001219C3" w:rsidRPr="001219C3" w:rsidRDefault="001219C3" w:rsidP="001219C3">
      <w:pPr>
        <w:pStyle w:val="ListParagraph"/>
        <w:rPr>
          <w:rFonts w:cs="Arial"/>
          <w:b/>
        </w:rPr>
      </w:pPr>
    </w:p>
    <w:p w:rsidR="001219C3" w:rsidRPr="001219C3" w:rsidRDefault="001219C3" w:rsidP="001219C3">
      <w:pPr>
        <w:pStyle w:val="ListParagraph"/>
        <w:rPr>
          <w:rFonts w:cs="Arial"/>
          <w:b/>
        </w:rPr>
      </w:pPr>
      <w:r w:rsidRPr="001219C3">
        <w:rPr>
          <w:rFonts w:cs="Arial"/>
          <w:b/>
        </w:rPr>
        <w:t xml:space="preserve">Audiometry results audit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No of workers who have attended for audiometry surveillance where the OH professional has recorded the sum of each ear for  1, 2, 3,4 &amp; 6kHz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rapid hearing loss level  / total numbers who were identified as being in Category 4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 The number of workers who were identified as requiring an three yearly  review period / total number in this audit sample who had been in employed in this role  for longer than two years  and were identified as being in category 1</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rsidR="001219C3" w:rsidRPr="001219C3" w:rsidRDefault="001219C3" w:rsidP="001219C3">
      <w:pPr>
        <w:rPr>
          <w:rFonts w:ascii="Arial" w:hAnsi="Arial" w:cs="Arial"/>
          <w:b/>
        </w:rPr>
      </w:pPr>
      <w:r w:rsidRPr="001219C3">
        <w:rPr>
          <w:rFonts w:ascii="Arial" w:hAnsi="Arial" w:cs="Arial"/>
          <w:b/>
        </w:rPr>
        <w:t xml:space="preserve">Post surveillance </w:t>
      </w:r>
    </w:p>
    <w:p w:rsidR="001219C3" w:rsidRPr="001219C3" w:rsidRDefault="001219C3" w:rsidP="001219C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organisations represented in the audiometry audit where an anonymised summary of results has been produced by the OH provider to the </w:t>
      </w:r>
      <w:r w:rsidRPr="001219C3">
        <w:rPr>
          <w:rFonts w:cs="Arial"/>
        </w:rPr>
        <w:t>organisation to</w:t>
      </w:r>
      <w:r w:rsidRPr="001219C3">
        <w:rPr>
          <w:rFonts w:cs="Arial"/>
        </w:rPr>
        <w:t xml:space="preserve"> </w:t>
      </w:r>
      <w:proofErr w:type="gramStart"/>
      <w:r w:rsidRPr="001219C3">
        <w:rPr>
          <w:rFonts w:cs="Arial"/>
        </w:rPr>
        <w:t>advise</w:t>
      </w:r>
      <w:proofErr w:type="gramEnd"/>
      <w:r w:rsidRPr="001219C3">
        <w:rPr>
          <w:rFonts w:cs="Arial"/>
        </w:rPr>
        <w:t xml:space="preserve"> on effectiveness of their noise control measures / total number of organisations represented in the audiometry audit.  </w:t>
      </w:r>
    </w:p>
    <w:p w:rsidR="001219C3" w:rsidRPr="001219C3" w:rsidRDefault="001219C3">
      <w:pPr>
        <w:pStyle w:val="ListParagraph"/>
        <w:rPr>
          <w:rFonts w:cs="Arial"/>
        </w:rPr>
      </w:pPr>
    </w:p>
    <w:sectPr w:rsidR="001219C3" w:rsidRPr="001219C3">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C9" w:rsidRDefault="004F3EC9">
      <w:r>
        <w:separator/>
      </w:r>
    </w:p>
  </w:endnote>
  <w:endnote w:type="continuationSeparator" w:id="0">
    <w:p w:rsidR="004F3EC9" w:rsidRDefault="004F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C9" w:rsidRDefault="004F3EC9">
      <w:r>
        <w:separator/>
      </w:r>
    </w:p>
  </w:footnote>
  <w:footnote w:type="continuationSeparator" w:id="0">
    <w:p w:rsidR="004F3EC9" w:rsidRDefault="004F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B3" w:rsidRDefault="002A13B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E2A"/>
    <w:multiLevelType w:val="hybridMultilevel"/>
    <w:tmpl w:val="F1AAD1C8"/>
    <w:numStyleLink w:val="ImportedStyle3"/>
  </w:abstractNum>
  <w:abstractNum w:abstractNumId="1">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131F34"/>
    <w:multiLevelType w:val="hybridMultilevel"/>
    <w:tmpl w:val="CFBC1172"/>
    <w:numStyleLink w:val="ImportedStyle4"/>
  </w:abstractNum>
  <w:abstractNum w:abstractNumId="4">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E81636">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74EAA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E5A61A8">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61820C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83EE9FE">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4808A710">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9AAB40">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587A76">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C8C4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90D0C0">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EB4C6B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4CB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8AF17C">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762AA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CF9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8C9BAC">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EB1DF1"/>
    <w:multiLevelType w:val="multilevel"/>
    <w:tmpl w:val="28CEE9B6"/>
    <w:numStyleLink w:val="ImportedStyle5"/>
  </w:abstractNum>
  <w:abstractNum w:abstractNumId="11">
    <w:nsid w:val="4FCA471D"/>
    <w:multiLevelType w:val="hybridMultilevel"/>
    <w:tmpl w:val="D790420C"/>
    <w:numStyleLink w:val="ImportedStyle7"/>
  </w:abstractNum>
  <w:abstractNum w:abstractNumId="12">
    <w:nsid w:val="550E46BE"/>
    <w:multiLevelType w:val="hybridMultilevel"/>
    <w:tmpl w:val="7B587DB2"/>
    <w:numStyleLink w:val="ImportedStyle9"/>
  </w:abstractNum>
  <w:abstractNum w:abstractNumId="13">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AADEE2">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4E735A">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4E106A">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AC02E">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53C9398">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AAEF6D2">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CC625FC">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84813E">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5E11E2">
      <w:start w:val="1"/>
      <w:numFmt w:val="lowerLetter"/>
      <w:lvlText w:val="%2."/>
      <w:lvlJc w:val="left"/>
      <w:pPr>
        <w:ind w:left="12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384B30">
      <w:start w:val="1"/>
      <w:numFmt w:val="lowerRoman"/>
      <w:lvlText w:val="%3."/>
      <w:lvlJc w:val="left"/>
      <w:pPr>
        <w:ind w:left="190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CE8590">
      <w:start w:val="1"/>
      <w:numFmt w:val="decimal"/>
      <w:lvlText w:val="%4."/>
      <w:lvlJc w:val="left"/>
      <w:pPr>
        <w:ind w:left="26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C0D672">
      <w:start w:val="1"/>
      <w:numFmt w:val="lowerLetter"/>
      <w:lvlText w:val="%5."/>
      <w:lvlJc w:val="left"/>
      <w:pPr>
        <w:ind w:left="33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0C044">
      <w:start w:val="1"/>
      <w:numFmt w:val="lowerRoman"/>
      <w:lvlText w:val="%6."/>
      <w:lvlJc w:val="left"/>
      <w:pPr>
        <w:ind w:left="406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E8C5A8">
      <w:start w:val="1"/>
      <w:numFmt w:val="decimal"/>
      <w:lvlText w:val="%7."/>
      <w:lvlJc w:val="left"/>
      <w:pPr>
        <w:ind w:left="48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1F2D73C">
      <w:start w:val="1"/>
      <w:numFmt w:val="lowerLetter"/>
      <w:lvlText w:val="%8."/>
      <w:lvlJc w:val="left"/>
      <w:pPr>
        <w:ind w:left="55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0CBA12">
      <w:start w:val="1"/>
      <w:numFmt w:val="lowerRoman"/>
      <w:lvlText w:val="%9."/>
      <w:lvlJc w:val="left"/>
      <w:pPr>
        <w:ind w:left="6224" w:hanging="4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A0740">
      <w:start w:val="1"/>
      <w:numFmt w:val="decimal"/>
      <w:lvlText w:val="%2."/>
      <w:lvlJc w:val="left"/>
      <w:pPr>
        <w:ind w:left="426"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A3A8D48">
      <w:start w:val="1"/>
      <w:numFmt w:val="decimal"/>
      <w:lvlText w:val="%3."/>
      <w:lvlJc w:val="left"/>
      <w:pPr>
        <w:ind w:left="4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3D688D4">
      <w:start w:val="1"/>
      <w:numFmt w:val="decimal"/>
      <w:lvlText w:val="%4."/>
      <w:lvlJc w:val="left"/>
      <w:pPr>
        <w:ind w:left="428"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9E7EDBF6">
      <w:start w:val="1"/>
      <w:numFmt w:val="decimal"/>
      <w:lvlText w:val="%5."/>
      <w:lvlJc w:val="left"/>
      <w:pPr>
        <w:ind w:left="42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FD229A28">
      <w:start w:val="1"/>
      <w:numFmt w:val="decimal"/>
      <w:lvlText w:val="%6."/>
      <w:lvlJc w:val="left"/>
      <w:pPr>
        <w:ind w:left="43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400668C">
      <w:start w:val="1"/>
      <w:numFmt w:val="decimal"/>
      <w:lvlText w:val="%7."/>
      <w:lvlJc w:val="left"/>
      <w:pPr>
        <w:ind w:left="431"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82B49E48">
      <w:start w:val="1"/>
      <w:numFmt w:val="decimal"/>
      <w:lvlText w:val="%8."/>
      <w:lvlJc w:val="left"/>
      <w:pPr>
        <w:ind w:left="432"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8541EB0">
      <w:start w:val="1"/>
      <w:numFmt w:val="decimal"/>
      <w:lvlText w:val="%9."/>
      <w:lvlJc w:val="left"/>
      <w:pPr>
        <w:ind w:left="433"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5C574DC4"/>
    <w:multiLevelType w:val="hybridMultilevel"/>
    <w:tmpl w:val="3C469B56"/>
    <w:numStyleLink w:val="ImportedStyle10"/>
  </w:abstractNum>
  <w:abstractNum w:abstractNumId="17">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C6CB94">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6CCD52">
      <w:start w:val="1"/>
      <w:numFmt w:val="lowerRoman"/>
      <w:lvlText w:val="%3."/>
      <w:lvlJc w:val="left"/>
      <w:pPr>
        <w:ind w:left="208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4F341750">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9AA8BC">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C4ECA8A">
      <w:start w:val="1"/>
      <w:numFmt w:val="lowerRoman"/>
      <w:lvlText w:val="%6."/>
      <w:lvlJc w:val="left"/>
      <w:pPr>
        <w:ind w:left="4244"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BB2E7A8A">
      <w:start w:val="1"/>
      <w:numFmt w:val="decimal"/>
      <w:lvlText w:val="%7."/>
      <w:lvlJc w:val="left"/>
      <w:pPr>
        <w:ind w:left="49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B0947E">
      <w:start w:val="1"/>
      <w:numFmt w:val="lowerLetter"/>
      <w:lvlText w:val="%8."/>
      <w:lvlJc w:val="left"/>
      <w:pPr>
        <w:ind w:left="568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CCAB2A">
      <w:start w:val="1"/>
      <w:numFmt w:val="lowerRoman"/>
      <w:lvlText w:val="%9."/>
      <w:lvlJc w:val="left"/>
      <w:pPr>
        <w:ind w:left="6404"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AFEC70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81EB3A8">
      <w:start w:val="1"/>
      <w:numFmt w:val="lowerRoman"/>
      <w:lvlText w:val="%3."/>
      <w:lvlJc w:val="left"/>
      <w:pPr>
        <w:ind w:left="180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AE644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58DF2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50FCE2">
      <w:start w:val="1"/>
      <w:numFmt w:val="lowerRoman"/>
      <w:lvlText w:val="%6."/>
      <w:lvlJc w:val="left"/>
      <w:pPr>
        <w:ind w:left="396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B6E90B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54A6C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388BF02">
      <w:start w:val="1"/>
      <w:numFmt w:val="lowerRoman"/>
      <w:lvlText w:val="%9."/>
      <w:lvlJc w:val="left"/>
      <w:pPr>
        <w:ind w:left="6120"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D42380"/>
    <w:multiLevelType w:val="hybridMultilevel"/>
    <w:tmpl w:val="71CACA58"/>
    <w:numStyleLink w:val="ImportedStyle2"/>
  </w:abstractNum>
  <w:abstractNum w:abstractNumId="21">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F4669C"/>
    <w:multiLevelType w:val="hybridMultilevel"/>
    <w:tmpl w:val="D548D714"/>
    <w:numStyleLink w:val="ImportedStyle1"/>
  </w:abstractNum>
  <w:abstractNum w:abstractNumId="23">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22"/>
    <w:lvlOverride w:ilvl="0">
      <w:startOverride w:val="2"/>
    </w:lvlOverride>
  </w:num>
  <w:num w:numId="4">
    <w:abstractNumId w:val="17"/>
  </w:num>
  <w:num w:numId="5">
    <w:abstractNumId w:val="20"/>
  </w:num>
  <w:num w:numId="6">
    <w:abstractNumId w:val="18"/>
  </w:num>
  <w:num w:numId="7">
    <w:abstractNumId w:val="0"/>
  </w:num>
  <w:num w:numId="8">
    <w:abstractNumId w:val="0"/>
    <w:lvlOverride w:ilvl="0">
      <w:startOverride w:val="1"/>
      <w:lvl w:ilvl="0" w:tplc="1E54F04C">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7"/>
  </w:num>
  <w:num w:numId="12">
    <w:abstractNumId w:val="10"/>
  </w:num>
  <w:num w:numId="13">
    <w:abstractNumId w:val="13"/>
  </w:num>
  <w:num w:numId="14">
    <w:abstractNumId w:val="12"/>
  </w:num>
  <w:num w:numId="15">
    <w:abstractNumId w:val="12"/>
    <w:lvlOverride w:ilvl="0">
      <w:startOverride w:val="3"/>
    </w:lvlOverride>
  </w:num>
  <w:num w:numId="16">
    <w:abstractNumId w:val="6"/>
  </w:num>
  <w:num w:numId="17">
    <w:abstractNumId w:val="16"/>
  </w:num>
  <w:num w:numId="18">
    <w:abstractNumId w:val="16"/>
    <w:lvlOverride w:ilvl="0">
      <w:startOverride w:val="4"/>
    </w:lvlOverride>
  </w:num>
  <w:num w:numId="19">
    <w:abstractNumId w:val="15"/>
  </w:num>
  <w:num w:numId="20">
    <w:abstractNumId w:val="11"/>
  </w:num>
  <w:num w:numId="21">
    <w:abstractNumId w:val="23"/>
  </w:num>
  <w:num w:numId="22">
    <w:abstractNumId w:val="9"/>
  </w:num>
  <w:num w:numId="23">
    <w:abstractNumId w:val="5"/>
  </w:num>
  <w:num w:numId="24">
    <w:abstractNumId w:val="21"/>
  </w:num>
  <w:num w:numId="25">
    <w:abstractNumId w:val="24"/>
  </w:num>
  <w:num w:numId="26">
    <w:abstractNumId w:val="2"/>
  </w:num>
  <w:num w:numId="27">
    <w:abstractNumId w:val="8"/>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13B3"/>
    <w:rsid w:val="001219C3"/>
    <w:rsid w:val="001813EB"/>
    <w:rsid w:val="001E09F2"/>
    <w:rsid w:val="00255E07"/>
    <w:rsid w:val="002571B6"/>
    <w:rsid w:val="00285473"/>
    <w:rsid w:val="002A13B3"/>
    <w:rsid w:val="002A5B08"/>
    <w:rsid w:val="002B7FD6"/>
    <w:rsid w:val="00357A79"/>
    <w:rsid w:val="00367964"/>
    <w:rsid w:val="003B40E4"/>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32360"/>
    <w:rsid w:val="00A75617"/>
    <w:rsid w:val="00AB7933"/>
    <w:rsid w:val="00AC2194"/>
    <w:rsid w:val="00AD02BB"/>
    <w:rsid w:val="00BA4265"/>
    <w:rsid w:val="00BD56CA"/>
    <w:rsid w:val="00D97A22"/>
    <w:rsid w:val="00E40B36"/>
    <w:rsid w:val="00E41140"/>
    <w:rsid w:val="00F15D2A"/>
    <w:rsid w:val="00F272A9"/>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4232</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Winch, Hilary (NNUHFT)</cp:lastModifiedBy>
  <cp:revision>2</cp:revision>
  <cp:lastPrinted>2017-04-27T09:44:00Z</cp:lastPrinted>
  <dcterms:created xsi:type="dcterms:W3CDTF">2020-05-17T19:39:00Z</dcterms:created>
  <dcterms:modified xsi:type="dcterms:W3CDTF">2020-05-17T19:39:00Z</dcterms:modified>
</cp:coreProperties>
</file>