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EC" w:rsidRDefault="001A13EC" w:rsidP="001A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Response from DHSC to letter from FOM/SOM re NHS OH</w:t>
      </w:r>
    </w:p>
    <w:p w:rsidR="001A13EC" w:rsidRDefault="001A13EC" w:rsidP="001A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A13EC" w:rsidRDefault="001A13EC" w:rsidP="001A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Our ref: DE-1151757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p w:rsidR="001A13EC" w:rsidRDefault="001A13EC" w:rsidP="001A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Dear Dr Mcloughlin and Dr de Bono,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Thank you for your correspondence of 10 October to Matt Hancock about mental health support for all doctors.  I have been asked to reply.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The publication of Professor </w:t>
      </w:r>
      <w:proofErr w:type="spellStart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Kinman’s</w:t>
      </w:r>
      <w:proofErr w:type="spellEnd"/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and Dr Teoh’s report into the issues surrounding mental health and doctors coincides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 work that is already underway to improve occupational health services for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NHS staff. 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1F497D"/>
          <w:lang w:eastAsia="en-GB"/>
        </w:rPr>
        <w:t>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Government is aware that the NHS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workforce is facing real challenges with more patients with complex problems.  That is why the NHS workforce and its health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bookmarkStart w:id="0" w:name="_GoBack"/>
      <w:bookmarkEnd w:id="0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and wellbeing is one of the Secretary of State’s key priorities.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Work is underway to speed up access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to musculoskeletal and mental health services for staff </w:t>
      </w:r>
      <w:proofErr w:type="gramStart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who</w:t>
      </w:r>
      <w:proofErr w:type="gramEnd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need them, and a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comprehensive occupational health service is essential to support this.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Government is working closely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 the NHS on this and earlier this year, the former Secretary of State,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Jeremy Hunt, commissioned NHS Improvement (NHSI) to deliver the national‘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Improving NHS 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taff Health and Wellbeing: Reducing Sickness Absence programme’, that aims to reduce NHS sickness absence by one per cent by 2020.  As part of this programme, NHSI are working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 over 70 NHS Trusts, across all types of providers and staff groups, to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develop ten high-impact actions for rolling out across the NHS.  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 note your concerns that the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current provision of occupational health services in the NHS are not uniform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and that standards are not mandated.  Part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of the health and wellbeing programme referred to above will see NHSI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evaluating fast-track occupational health service models to better understand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variances between trusts when it comes to commissioning mental health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support for their staff.  An analysis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will be undertaken to identify opportunities for standardising these services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across organisations.  </w:t>
      </w:r>
      <w:bookmarkStart w:id="1" w:name="m_4328803722192667408_m_-629239762835396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 programme is supported by an Expert Advisory Board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which includes British Petroleum and British Telecom, as well as doctors with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significant experience in occupational health, including Dame Carol Black and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Dr Steve </w:t>
      </w:r>
      <w:proofErr w:type="spellStart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Boorman</w:t>
      </w:r>
      <w:proofErr w:type="spellEnd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 </w:t>
      </w:r>
      <w:bookmarkEnd w:id="1"/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 addition, in July, NHS England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launched its new staff Health and Wellbeing Framework.  The Framework supports NHS organisations in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diagnosing staff needs and interventions to address health and wellbeing issues. This includes counselling and talking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therapies for staff with mental illness.  The Framework provides suggestions and good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practice examples and includes the support required from occupational health in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trusts.  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</w:p>
    <w:p w:rsidR="001A13EC" w:rsidRDefault="001A13EC" w:rsidP="001A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The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provision of occupational health services in the NHS is extremely important to the Secretary of State and he would welcome an opportunity to visit one, ideally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coinciding with one of his regular visits to NHS organisations.    Please contact Mr Hancock’s diary secretary,</w:t>
      </w:r>
      <w:r w:rsidRPr="001A13EC">
        <w:rPr>
          <w:rFonts w:ascii="Arial" w:eastAsia="Times New Roman" w:hAnsi="Arial" w:cs="Arial"/>
          <w:color w:val="1F497D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Kate </w:t>
      </w:r>
      <w:proofErr w:type="spellStart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Invernon</w:t>
      </w:r>
      <w:proofErr w:type="spellEnd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at </w:t>
      </w:r>
      <w:hyperlink r:id="rId5" w:tgtFrame="_blank" w:history="1">
        <w:r w:rsidRPr="001A13EC">
          <w:rPr>
            <w:rFonts w:ascii="Arial" w:eastAsia="Times New Roman" w:hAnsi="Arial" w:cs="Arial"/>
            <w:color w:val="800080"/>
            <w:sz w:val="20"/>
            <w:szCs w:val="20"/>
            <w:u w:val="single"/>
            <w:lang w:eastAsia="en-GB"/>
          </w:rPr>
          <w:t>Katie.Invernon@dh.gsi.gov.uk</w:t>
        </w:r>
      </w:hyperlink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to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establish whether there is a suitable date for him to visit an occupational health service.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 hope this reply is helpful.</w:t>
      </w:r>
    </w:p>
    <w:p w:rsidR="001A13EC" w:rsidRPr="001A13EC" w:rsidRDefault="001A13EC" w:rsidP="001A1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Yours sincerely, 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Annette </w:t>
      </w:r>
      <w:proofErr w:type="spellStart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Sparrowhawk</w:t>
      </w:r>
      <w:proofErr w:type="spellEnd"/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Ministerial Correspondence and Public Enquiries</w:t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1A13EC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Department of Health and Social Care</w:t>
      </w:r>
    </w:p>
    <w:p w:rsidR="00B25FCC" w:rsidRDefault="001A13EC"/>
    <w:sectPr w:rsidR="00B25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EC"/>
    <w:rsid w:val="000E0132"/>
    <w:rsid w:val="001A13EC"/>
    <w:rsid w:val="004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328803722192667408m-6292397628353966523xapple-converted-space">
    <w:name w:val="m_4328803722192667408m-6292397628353966523xapple-converted-space"/>
    <w:basedOn w:val="DefaultParagraphFont"/>
    <w:rsid w:val="001A13EC"/>
  </w:style>
  <w:style w:type="character" w:styleId="Hyperlink">
    <w:name w:val="Hyperlink"/>
    <w:basedOn w:val="DefaultParagraphFont"/>
    <w:uiPriority w:val="99"/>
    <w:semiHidden/>
    <w:unhideWhenUsed/>
    <w:rsid w:val="001A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328803722192667408m-6292397628353966523xapple-converted-space">
    <w:name w:val="m_4328803722192667408m-6292397628353966523xapple-converted-space"/>
    <w:basedOn w:val="DefaultParagraphFont"/>
    <w:rsid w:val="001A13EC"/>
  </w:style>
  <w:style w:type="character" w:styleId="Hyperlink">
    <w:name w:val="Hyperlink"/>
    <w:basedOn w:val="DefaultParagraphFont"/>
    <w:uiPriority w:val="99"/>
    <w:semiHidden/>
    <w:unhideWhenUsed/>
    <w:rsid w:val="001A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e.Invernon@dh.gsi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2018-11-07T11:51:00Z</dcterms:created>
  <dcterms:modified xsi:type="dcterms:W3CDTF">2018-11-07T11:53:00Z</dcterms:modified>
</cp:coreProperties>
</file>